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36" w:rsidRP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17136">
        <w:rPr>
          <w:rFonts w:ascii="Times New Roman" w:hAnsi="Times New Roman" w:cs="Times New Roman"/>
          <w:b/>
          <w:sz w:val="32"/>
          <w:szCs w:val="24"/>
          <w:u w:val="single"/>
        </w:rPr>
        <w:t xml:space="preserve">Exercice #1 : L’anneau unique </w:t>
      </w:r>
    </w:p>
    <w:p w:rsid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7136" w:rsidRP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36">
        <w:rPr>
          <w:rFonts w:ascii="Times New Roman" w:hAnsi="Times New Roman" w:cs="Times New Roman"/>
          <w:b/>
          <w:sz w:val="28"/>
          <w:szCs w:val="24"/>
        </w:rPr>
        <w:t xml:space="preserve">L’anneau unique de la trilogie le seigneur des anneaux  </w:t>
      </w:r>
    </w:p>
    <w:p w:rsid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48">
        <w:rPr>
          <w:rFonts w:ascii="Times New Roman" w:hAnsi="Times New Roman" w:cs="Times New Roman"/>
          <w:sz w:val="24"/>
          <w:szCs w:val="24"/>
        </w:rPr>
        <w:t xml:space="preserve">Au cœur de cette histoire culte se trouve un objet magique d’une puissance ultime, l’anneau unique qui déchire les peuples des terres du milieu (univers dans lequel se déroule l’histoire). </w:t>
      </w:r>
      <w:r>
        <w:rPr>
          <w:rFonts w:ascii="Times New Roman" w:hAnsi="Times New Roman" w:cs="Times New Roman"/>
          <w:sz w:val="24"/>
          <w:szCs w:val="24"/>
        </w:rPr>
        <w:t>Bref</w:t>
      </w:r>
      <w:r w:rsidRPr="00634F48">
        <w:rPr>
          <w:rFonts w:ascii="Times New Roman" w:hAnsi="Times New Roman" w:cs="Times New Roman"/>
          <w:sz w:val="24"/>
          <w:szCs w:val="24"/>
        </w:rPr>
        <w:t>, l’anneau de pouvoir corrompt assurément quiconque le possède, il peut être la propriété d’une seule personne à la fois et sa possession transforme graduellement le propriétaire en paranoïaque de haut niveau.</w:t>
      </w:r>
    </w:p>
    <w:p w:rsidR="00017136" w:rsidRPr="00634F48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36" w:rsidRPr="00634F48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D’après 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4F48">
        <w:rPr>
          <w:rFonts w:ascii="Times New Roman" w:hAnsi="Times New Roman" w:cs="Times New Roman"/>
          <w:sz w:val="24"/>
          <w:szCs w:val="24"/>
        </w:rPr>
        <w:t xml:space="preserve">que représente l’anneau dans l’histoire ? </w:t>
      </w:r>
    </w:p>
    <w:p w:rsidR="00017136" w:rsidRPr="00634F48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36" w:rsidRPr="00634F48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48">
        <w:rPr>
          <w:rFonts w:ascii="Times New Roman" w:hAnsi="Times New Roman" w:cs="Times New Roman"/>
          <w:b/>
          <w:sz w:val="24"/>
          <w:szCs w:val="24"/>
        </w:rPr>
        <w:t>Signifiant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634F4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3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36" w:rsidRPr="00634F48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F48">
        <w:rPr>
          <w:rFonts w:ascii="Times New Roman" w:hAnsi="Times New Roman" w:cs="Times New Roman"/>
          <w:b/>
          <w:sz w:val="24"/>
          <w:szCs w:val="24"/>
        </w:rPr>
        <w:t>Signifié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634F4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3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7136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36" w:rsidRPr="00634F48" w:rsidRDefault="00017136" w:rsidP="00017136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48">
        <w:rPr>
          <w:rFonts w:ascii="Times New Roman" w:hAnsi="Times New Roman" w:cs="Times New Roman"/>
          <w:b/>
          <w:sz w:val="24"/>
          <w:szCs w:val="24"/>
        </w:rPr>
        <w:t>Signification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634F4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34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FB" w:rsidRDefault="00026BFB"/>
    <w:p w:rsidR="00017136" w:rsidRDefault="00017136"/>
    <w:sectPr w:rsidR="000171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6"/>
    <w:rsid w:val="00017136"/>
    <w:rsid w:val="000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7EAA"/>
  <w15:chartTrackingRefBased/>
  <w15:docId w15:val="{61DC7A1A-A128-40AB-9582-D6F8FF33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Granby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Philippe Lefebvre</dc:creator>
  <cp:keywords/>
  <dc:description/>
  <cp:lastModifiedBy>Pierre Philippe Lefebvre</cp:lastModifiedBy>
  <cp:revision>1</cp:revision>
  <dcterms:created xsi:type="dcterms:W3CDTF">2018-01-17T15:51:00Z</dcterms:created>
  <dcterms:modified xsi:type="dcterms:W3CDTF">2018-01-17T15:54:00Z</dcterms:modified>
</cp:coreProperties>
</file>